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626949928" name="Picture">
</wp:docPr>
                  <a:graphic>
                    <a:graphicData uri="http://schemas.openxmlformats.org/drawingml/2006/picture">
                      <pic:pic>
                        <pic:nvPicPr>
                          <pic:cNvPr id="626949928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1723760012" name="Picture">
</wp:docPr>
                  <a:graphic>
                    <a:graphicData uri="http://schemas.openxmlformats.org/drawingml/2006/picture">
                      <pic:pic>
                        <pic:nvPicPr>
                          <pic:cNvPr id="1723760012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Погружной фильтр/помпа для фильтрования и очистки воды в аквариумах бытового назначения</w:t>
              <w:br/>
              <w:t xml:space="preserve">SDF-316</w:t>
              <w:br/>
              <w:t xml:space="preserve">SDF-320</w:t>
              <w:br/>
              <w:t xml:space="preserve">SDF-330</w:t>
              <w:br/>
              <w:t xml:space="preserve">SDF-340</w:t>
              <w:br/>
              <w:t xml:space="preserve">SDF-350</w:t>
              <w:br/>
              <w:t xml:space="preserve">SDF-360</w:t>
              <w:br/>
              <w:t xml:space="preserve">SD-1100 </w:t>
              <w:br/>
              <w:t xml:space="preserve">SD-2200 </w:t>
              <w:br/>
              <w:t xml:space="preserve">SD-3200 </w:t>
              <w:br/>
              <w:t xml:space="preserve">SD-4200 </w:t>
              <w:br/>
              <w:t xml:space="preserve">SDP-800</w:t>
              <w:br/>
              <w:t xml:space="preserve">SDP-1800</w:t>
              <w:br/>
              <w:t xml:space="preserve">SDP-2800</w:t>
              <w:br/>
              <w:t xml:space="preserve">SDP-3800</w:t>
              <w:br/>
              <w:t xml:space="preserve">SDP-4800, TM SHANDA</w:t>
              <w:br/>
            </w: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8421210009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11-6393-2022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Д-CN.РА08.В.10848/22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